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1B7EC" w14:textId="0BED6454" w:rsidR="005E2163" w:rsidRDefault="00AC329C">
      <w:pPr>
        <w:spacing w:before="90" w:line="288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Website 2.1:</w:t>
      </w:r>
      <w:r w:rsidR="005E2163">
        <w:rPr>
          <w:rFonts w:ascii="Arial" w:hAnsi="Arial" w:cs="Arial"/>
          <w:b/>
        </w:rPr>
        <w:t xml:space="preserve"> Endogene Krisenursachen</w:t>
      </w:r>
    </w:p>
    <w:p w14:paraId="05499521" w14:textId="220D3088" w:rsidR="005E2163" w:rsidRDefault="005E2163" w:rsidP="005E2163">
      <w:pPr>
        <w:spacing w:before="9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nachfolgenden Beispiele dienen der weiterführenden Veranschaulichung sowie Ergänzung der Ausführungen in Kapitel </w:t>
      </w:r>
      <w:r w:rsidR="00AC329C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14:paraId="72EAD5E5" w14:textId="77777777" w:rsidR="005E2163" w:rsidRDefault="005E2163">
      <w:pPr>
        <w:spacing w:before="90"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Endogene Krisenursachen</w:t>
      </w:r>
    </w:p>
    <w:p w14:paraId="361CBA43" w14:textId="0049C6CB" w:rsidR="005E2163" w:rsidRDefault="005E2163" w:rsidP="00373285">
      <w:pPr>
        <w:spacing w:before="90" w:after="120" w:line="288" w:lineRule="auto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Ursachen von Unternehmenskrisen liegen oftmals im Unternehmen selbst begründet (endogene Ursachen). Beispiele hierfür sind:</w:t>
      </w:r>
      <w:r>
        <w:rPr>
          <w:rStyle w:val="Endnotenzeichen"/>
          <w:rFonts w:ascii="Arial" w:hAnsi="Arial" w:cs="Arial"/>
        </w:rPr>
        <w:endnoteReference w:id="1"/>
      </w:r>
      <w:r w:rsidRPr="009148D3">
        <w:rPr>
          <w:rFonts w:ascii="Arial" w:hAnsi="Arial" w:cs="Arial"/>
          <w:vertAlign w:val="superscript"/>
        </w:rPr>
        <w:t>,</w:t>
      </w:r>
      <w:r>
        <w:rPr>
          <w:rStyle w:val="Endnotenzeichen"/>
          <w:rFonts w:ascii="Arial" w:hAnsi="Arial" w:cs="Arial"/>
        </w:rPr>
        <w:endnoteReference w:id="2"/>
      </w:r>
      <w:r w:rsidR="00115F7B">
        <w:rPr>
          <w:rFonts w:ascii="Arial" w:hAnsi="Arial" w:cs="Arial"/>
          <w:vertAlign w:val="superscript"/>
        </w:rPr>
        <w:t>,</w:t>
      </w:r>
      <w:r w:rsidR="00115F7B">
        <w:rPr>
          <w:rStyle w:val="Endnotenzeichen"/>
          <w:rFonts w:ascii="Arial" w:hAnsi="Arial" w:cs="Arial"/>
        </w:rPr>
        <w:endnoteReference w:id="3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C329C" w14:paraId="257DBD79" w14:textId="77777777" w:rsidTr="00AC329C">
        <w:tc>
          <w:tcPr>
            <w:tcW w:w="4530" w:type="dxa"/>
          </w:tcPr>
          <w:p w14:paraId="00459573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fehlende bzw. mangelnde strategische Ausrichtung</w:t>
            </w:r>
          </w:p>
          <w:p w14:paraId="08831D25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veraltete bzw. noch unerprobte Technologien und Produkte</w:t>
            </w:r>
          </w:p>
          <w:p w14:paraId="2901C90B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unzureichende oder fehlende Entwicklung marktgängiger Produkte</w:t>
            </w:r>
          </w:p>
          <w:p w14:paraId="448A807B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mangelhafte Produktqualität</w:t>
            </w:r>
          </w:p>
          <w:p w14:paraId="106FC2F2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fehlende operative Effizienz</w:t>
            </w:r>
          </w:p>
          <w:p w14:paraId="2A966807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hohe Fixkostenbelastung</w:t>
            </w:r>
          </w:p>
          <w:p w14:paraId="67218B2A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hohe Unternehmenskomplexität</w:t>
            </w:r>
          </w:p>
          <w:p w14:paraId="0CE4B40F" w14:textId="5D7C4705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unzureichende Management-qualität und Führungsfehler</w:t>
            </w:r>
          </w:p>
          <w:p w14:paraId="3CDC6935" w14:textId="524AFBE4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hohe Fluktuation des Managements</w:t>
            </w:r>
            <w:r w:rsidR="00844AD6">
              <w:rPr>
                <w:rFonts w:ascii="Arial" w:hAnsi="Arial" w:cs="Arial"/>
              </w:rPr>
              <w:t xml:space="preserve"> oder Schlüsselpersonal</w:t>
            </w:r>
          </w:p>
          <w:p w14:paraId="6EBCF436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Entscheidungsschwäche</w:t>
            </w:r>
          </w:p>
          <w:p w14:paraId="61F1B347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Gesellschafterstreitigkeiten</w:t>
            </w:r>
          </w:p>
          <w:p w14:paraId="107787C8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patriarchischer Führungsstil</w:t>
            </w:r>
          </w:p>
          <w:p w14:paraId="54A0C717" w14:textId="50E7FC48" w:rsidR="00AC329C" w:rsidRPr="00572484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unklare</w:t>
            </w:r>
            <w:r w:rsidRPr="00572484">
              <w:rPr>
                <w:rFonts w:ascii="Arial" w:hAnsi="Arial" w:cs="Arial"/>
              </w:rPr>
              <w:t xml:space="preserve"> </w:t>
            </w:r>
            <w:r w:rsidR="00844AD6">
              <w:rPr>
                <w:rFonts w:ascii="Arial" w:hAnsi="Arial" w:cs="Arial"/>
              </w:rPr>
              <w:t xml:space="preserve">oder fehlgeschlagene </w:t>
            </w:r>
            <w:r w:rsidRPr="00572484">
              <w:rPr>
                <w:rFonts w:ascii="Arial" w:hAnsi="Arial" w:cs="Arial"/>
              </w:rPr>
              <w:t>Nachfolgerregelung</w:t>
            </w:r>
          </w:p>
          <w:p w14:paraId="3702A97A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unausgewogene Finanzierungsstruktur</w:t>
            </w:r>
          </w:p>
          <w:p w14:paraId="7C2C8B47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überteuerte Akquisitionen</w:t>
            </w:r>
          </w:p>
          <w:p w14:paraId="53E81A74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organisatorische Mängel</w:t>
            </w:r>
          </w:p>
          <w:p w14:paraId="69136D33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unzureichendes internes Rechnungswesen</w:t>
            </w:r>
          </w:p>
          <w:p w14:paraId="1C1663AD" w14:textId="20D457F5" w:rsidR="00844AD6" w:rsidRPr="00AC329C" w:rsidRDefault="00844AD6" w:rsidP="00AC329C">
            <w:pPr>
              <w:numPr>
                <w:ilvl w:val="0"/>
                <w:numId w:val="2"/>
              </w:numPr>
              <w:tabs>
                <w:tab w:val="clear" w:pos="720"/>
                <w:tab w:val="num" w:pos="447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fehlender Transformationswille und -fähigkeit</w:t>
            </w:r>
          </w:p>
        </w:tc>
        <w:tc>
          <w:tcPr>
            <w:tcW w:w="4530" w:type="dxa"/>
          </w:tcPr>
          <w:p w14:paraId="2719D332" w14:textId="65A3BFA5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 w:rsidRPr="00337B23">
              <w:rPr>
                <w:rFonts w:ascii="Arial" w:hAnsi="Arial" w:cs="Arial"/>
              </w:rPr>
              <w:t>unzureichende</w:t>
            </w:r>
            <w:r w:rsidR="00373285">
              <w:rPr>
                <w:rFonts w:ascii="Arial" w:hAnsi="Arial" w:cs="Arial"/>
              </w:rPr>
              <w:t>s</w:t>
            </w:r>
            <w:r w:rsidRPr="00337B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Planungs- und </w:t>
            </w:r>
            <w:r w:rsidR="00373285" w:rsidRPr="00337B23">
              <w:rPr>
                <w:rFonts w:ascii="Arial" w:hAnsi="Arial" w:cs="Arial"/>
              </w:rPr>
              <w:t>Controlling</w:t>
            </w:r>
            <w:r w:rsidR="00373285">
              <w:rPr>
                <w:rFonts w:ascii="Arial" w:hAnsi="Arial" w:cs="Arial"/>
              </w:rPr>
              <w:t>s</w:t>
            </w:r>
            <w:r w:rsidR="00373285" w:rsidRPr="00337B23">
              <w:rPr>
                <w:rFonts w:ascii="Arial" w:hAnsi="Arial" w:cs="Arial"/>
              </w:rPr>
              <w:t>ystem</w:t>
            </w:r>
          </w:p>
          <w:p w14:paraId="24C7F557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 w:rsidRPr="00337B23">
              <w:rPr>
                <w:rFonts w:ascii="Arial" w:hAnsi="Arial" w:cs="Arial"/>
              </w:rPr>
              <w:t>Person de</w:t>
            </w:r>
            <w:r>
              <w:rPr>
                <w:rFonts w:ascii="Arial" w:hAnsi="Arial" w:cs="Arial"/>
              </w:rPr>
              <w:t>s</w:t>
            </w:r>
            <w:r w:rsidRPr="00337B23">
              <w:rPr>
                <w:rFonts w:ascii="Arial" w:hAnsi="Arial" w:cs="Arial"/>
              </w:rPr>
              <w:t xml:space="preserve"> Unternehmers</w:t>
            </w:r>
          </w:p>
          <w:p w14:paraId="261BCBB8" w14:textId="77777777" w:rsidR="00AC329C" w:rsidRPr="00337B23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fehlende oder schwache zweite Führungsebene</w:t>
            </w:r>
          </w:p>
          <w:p w14:paraId="136325C4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überhastete Expansion</w:t>
            </w:r>
          </w:p>
          <w:p w14:paraId="5DAC9476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Mängel im Absatzbereich</w:t>
            </w:r>
          </w:p>
          <w:p w14:paraId="40C85EEA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Mängel im Produktionsbereich</w:t>
            </w:r>
          </w:p>
          <w:p w14:paraId="61EE0DFF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Mängel in der Beschaffung und Logistik</w:t>
            </w:r>
          </w:p>
          <w:p w14:paraId="049BEB6C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Mängel im Personalwesen</w:t>
            </w:r>
          </w:p>
          <w:p w14:paraId="6CA34468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Mängel im Investitionssektor</w:t>
            </w:r>
          </w:p>
          <w:p w14:paraId="4E843022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Mängel in der Forschung und Entwicklung</w:t>
            </w:r>
          </w:p>
          <w:p w14:paraId="403766FC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mangelhafte IT-Struktur</w:t>
            </w:r>
          </w:p>
          <w:p w14:paraId="4DAA3D9C" w14:textId="62626605" w:rsidR="00844AD6" w:rsidRPr="00115F7B" w:rsidRDefault="00844AD6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fehlende Sicherheitskonzepte (IT u.a.)</w:t>
            </w:r>
          </w:p>
          <w:p w14:paraId="2876BB33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schwache Eigenkapitalausstattung sowie geringe Rücklagen</w:t>
            </w:r>
          </w:p>
          <w:p w14:paraId="6DF84B59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mangelhaftes Planungs- und Kontrollsystem</w:t>
            </w:r>
          </w:p>
          <w:p w14:paraId="696F7B88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starres Festhalten an ehemals erfolgreichen Konzepten</w:t>
            </w:r>
          </w:p>
          <w:p w14:paraId="79895FD6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mangelnde Kommunikation und Transparenz</w:t>
            </w:r>
          </w:p>
          <w:p w14:paraId="47091A55" w14:textId="77777777" w:rsidR="00AC329C" w:rsidRDefault="00AC329C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 w:rsidRPr="00AC329C">
              <w:rPr>
                <w:rFonts w:ascii="Arial" w:hAnsi="Arial" w:cs="Arial"/>
              </w:rPr>
              <w:t>Rechtsformnachteile</w:t>
            </w:r>
          </w:p>
          <w:p w14:paraId="4018450A" w14:textId="77777777" w:rsidR="00844AD6" w:rsidRDefault="00844AD6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Standortnachteile</w:t>
            </w:r>
          </w:p>
          <w:p w14:paraId="21FA96F3" w14:textId="73F0C792" w:rsidR="00844AD6" w:rsidRPr="00AC329C" w:rsidRDefault="00844AD6" w:rsidP="00AC329C">
            <w:pPr>
              <w:numPr>
                <w:ilvl w:val="0"/>
                <w:numId w:val="2"/>
              </w:numPr>
              <w:tabs>
                <w:tab w:val="clear" w:pos="720"/>
              </w:tabs>
              <w:spacing w:before="90" w:line="288" w:lineRule="auto"/>
              <w:ind w:left="4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Fehlende Digitalisierung</w:t>
            </w:r>
          </w:p>
        </w:tc>
      </w:tr>
    </w:tbl>
    <w:p w14:paraId="295C0AE7" w14:textId="77777777" w:rsidR="00AC329C" w:rsidRDefault="00AC329C" w:rsidP="00373285">
      <w:pPr>
        <w:spacing w:before="90" w:line="288" w:lineRule="auto"/>
        <w:jc w:val="both"/>
        <w:rPr>
          <w:rFonts w:ascii="Arial" w:hAnsi="Arial" w:cs="Arial"/>
        </w:rPr>
      </w:pPr>
    </w:p>
    <w:sectPr w:rsidR="00AC329C"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6C566" w14:textId="77777777" w:rsidR="00141A7F" w:rsidRDefault="00141A7F">
      <w:r>
        <w:separator/>
      </w:r>
    </w:p>
  </w:endnote>
  <w:endnote w:type="continuationSeparator" w:id="0">
    <w:p w14:paraId="4FF2AB6A" w14:textId="77777777" w:rsidR="00141A7F" w:rsidRDefault="00141A7F">
      <w:r>
        <w:continuationSeparator/>
      </w:r>
    </w:p>
  </w:endnote>
  <w:endnote w:id="1">
    <w:p w14:paraId="17A8B238" w14:textId="77777777" w:rsidR="005E2163" w:rsidRPr="00871146" w:rsidRDefault="005E2163" w:rsidP="005E2163">
      <w:pPr>
        <w:pStyle w:val="Endnotentext"/>
        <w:spacing w:line="180" w:lineRule="exact"/>
        <w:ind w:left="113" w:hanging="113"/>
        <w:rPr>
          <w:sz w:val="16"/>
          <w:szCs w:val="16"/>
        </w:rPr>
      </w:pPr>
      <w:r w:rsidRPr="00871146">
        <w:rPr>
          <w:rStyle w:val="Endnotenzeichen"/>
          <w:sz w:val="16"/>
          <w:szCs w:val="16"/>
        </w:rPr>
        <w:endnoteRef/>
      </w:r>
      <w:r w:rsidRPr="00871146">
        <w:rPr>
          <w:sz w:val="16"/>
          <w:szCs w:val="16"/>
        </w:rPr>
        <w:t xml:space="preserve"> </w:t>
      </w:r>
      <w:r w:rsidRPr="00871146">
        <w:rPr>
          <w:rFonts w:ascii="Arial" w:hAnsi="Arial" w:cs="Arial"/>
          <w:sz w:val="16"/>
          <w:szCs w:val="16"/>
        </w:rPr>
        <w:t>Brühl in Brühl, V./Göpfert, B. (2004): Unternehmensrestrukturierung - Strategien und Konzepte, Stuttgart, S. 5.</w:t>
      </w:r>
    </w:p>
  </w:endnote>
  <w:endnote w:id="2">
    <w:p w14:paraId="3DC9D30E" w14:textId="77777777" w:rsidR="005E2163" w:rsidRPr="00871146" w:rsidRDefault="005E2163" w:rsidP="005E2163">
      <w:pPr>
        <w:pStyle w:val="Endnotentext"/>
        <w:spacing w:line="180" w:lineRule="exact"/>
        <w:ind w:left="113" w:hanging="113"/>
        <w:rPr>
          <w:rFonts w:ascii="Arial" w:hAnsi="Arial" w:cs="Arial"/>
          <w:sz w:val="16"/>
          <w:szCs w:val="16"/>
        </w:rPr>
      </w:pPr>
      <w:r w:rsidRPr="00871146">
        <w:rPr>
          <w:rStyle w:val="Endnotenzeichen"/>
          <w:rFonts w:ascii="Arial" w:hAnsi="Arial" w:cs="Arial"/>
          <w:sz w:val="16"/>
          <w:szCs w:val="16"/>
        </w:rPr>
        <w:endnoteRef/>
      </w:r>
      <w:r w:rsidRPr="00871146">
        <w:rPr>
          <w:rFonts w:ascii="Arial" w:hAnsi="Arial" w:cs="Arial"/>
          <w:sz w:val="16"/>
          <w:szCs w:val="16"/>
        </w:rPr>
        <w:t xml:space="preserve"> WP Handbuch (2008), Band II, Institut der Wirtschaftsprüfer in Deutschland e.V., F Rz. 129.</w:t>
      </w:r>
    </w:p>
  </w:endnote>
  <w:endnote w:id="3">
    <w:p w14:paraId="02B28938" w14:textId="77777777" w:rsidR="00115F7B" w:rsidRDefault="00115F7B" w:rsidP="00871146">
      <w:pPr>
        <w:pStyle w:val="Endnotentext"/>
        <w:ind w:left="142" w:hanging="142"/>
      </w:pPr>
      <w:r w:rsidRPr="00871146">
        <w:rPr>
          <w:rStyle w:val="Endnotenzeichen"/>
          <w:rFonts w:ascii="Arial" w:hAnsi="Arial" w:cs="Arial"/>
          <w:sz w:val="16"/>
          <w:szCs w:val="16"/>
        </w:rPr>
        <w:endnoteRef/>
      </w:r>
      <w:r w:rsidRPr="00871146">
        <w:rPr>
          <w:rFonts w:ascii="Arial" w:hAnsi="Arial" w:cs="Arial"/>
          <w:sz w:val="16"/>
          <w:szCs w:val="16"/>
        </w:rPr>
        <w:t xml:space="preserve"> Sonius, D./Bergstermann, M./Liewald, C. u. Kehrel, U. (2015): Zur Entstehung von Unternehmenskrisen – Eine empirische Bewertung potenzieller Krisenursachen, in: Krisen-, Sanierungs- und Insolvenzberatung (KSI), 2015, S. 197-206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7FA32" w14:textId="77777777" w:rsidR="00141A7F" w:rsidRDefault="00141A7F">
      <w:r>
        <w:separator/>
      </w:r>
    </w:p>
  </w:footnote>
  <w:footnote w:type="continuationSeparator" w:id="0">
    <w:p w14:paraId="1DF04462" w14:textId="77777777" w:rsidR="00141A7F" w:rsidRDefault="00141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332F4"/>
    <w:multiLevelType w:val="hybridMultilevel"/>
    <w:tmpl w:val="FD9624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E70"/>
    <w:multiLevelType w:val="hybridMultilevel"/>
    <w:tmpl w:val="B39E599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274C5"/>
    <w:multiLevelType w:val="hybridMultilevel"/>
    <w:tmpl w:val="F0A457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6DA"/>
    <w:multiLevelType w:val="hybridMultilevel"/>
    <w:tmpl w:val="4788B0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9118E"/>
    <w:multiLevelType w:val="hybridMultilevel"/>
    <w:tmpl w:val="4C50E6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D7C6D"/>
    <w:multiLevelType w:val="hybridMultilevel"/>
    <w:tmpl w:val="6D6662FA"/>
    <w:lvl w:ilvl="0" w:tplc="0F62A9A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91452"/>
    <w:multiLevelType w:val="hybridMultilevel"/>
    <w:tmpl w:val="70865BF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D75504"/>
    <w:multiLevelType w:val="hybridMultilevel"/>
    <w:tmpl w:val="62C6C1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77946"/>
    <w:multiLevelType w:val="hybridMultilevel"/>
    <w:tmpl w:val="7F020A8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103A9"/>
    <w:multiLevelType w:val="hybridMultilevel"/>
    <w:tmpl w:val="4282E26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0384D"/>
    <w:multiLevelType w:val="hybridMultilevel"/>
    <w:tmpl w:val="9B3CEFA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65CEC"/>
    <w:multiLevelType w:val="hybridMultilevel"/>
    <w:tmpl w:val="0CCC62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E2D2C"/>
    <w:multiLevelType w:val="hybridMultilevel"/>
    <w:tmpl w:val="5630D5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258813">
    <w:abstractNumId w:val="1"/>
  </w:num>
  <w:num w:numId="2" w16cid:durableId="1504203373">
    <w:abstractNumId w:val="7"/>
  </w:num>
  <w:num w:numId="3" w16cid:durableId="1434282190">
    <w:abstractNumId w:val="10"/>
  </w:num>
  <w:num w:numId="4" w16cid:durableId="127821444">
    <w:abstractNumId w:val="0"/>
  </w:num>
  <w:num w:numId="5" w16cid:durableId="281613663">
    <w:abstractNumId w:val="2"/>
  </w:num>
  <w:num w:numId="6" w16cid:durableId="1040206547">
    <w:abstractNumId w:val="12"/>
  </w:num>
  <w:num w:numId="7" w16cid:durableId="1209417032">
    <w:abstractNumId w:val="4"/>
  </w:num>
  <w:num w:numId="8" w16cid:durableId="1051462419">
    <w:abstractNumId w:val="3"/>
  </w:num>
  <w:num w:numId="9" w16cid:durableId="1947544433">
    <w:abstractNumId w:val="8"/>
  </w:num>
  <w:num w:numId="10" w16cid:durableId="106589631">
    <w:abstractNumId w:val="9"/>
  </w:num>
  <w:num w:numId="11" w16cid:durableId="1655253186">
    <w:abstractNumId w:val="11"/>
  </w:num>
  <w:num w:numId="12" w16cid:durableId="1621372071">
    <w:abstractNumId w:val="5"/>
  </w:num>
  <w:num w:numId="13" w16cid:durableId="543174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97A"/>
    <w:rsid w:val="00115F7B"/>
    <w:rsid w:val="00141A7F"/>
    <w:rsid w:val="0014797A"/>
    <w:rsid w:val="002A2443"/>
    <w:rsid w:val="00303096"/>
    <w:rsid w:val="00310085"/>
    <w:rsid w:val="003730F0"/>
    <w:rsid w:val="00373285"/>
    <w:rsid w:val="004F2D3C"/>
    <w:rsid w:val="0052257D"/>
    <w:rsid w:val="0055597D"/>
    <w:rsid w:val="00572484"/>
    <w:rsid w:val="0057449F"/>
    <w:rsid w:val="005E2163"/>
    <w:rsid w:val="006A2EAD"/>
    <w:rsid w:val="006E4705"/>
    <w:rsid w:val="007316D9"/>
    <w:rsid w:val="007524B8"/>
    <w:rsid w:val="007E1BD3"/>
    <w:rsid w:val="00832049"/>
    <w:rsid w:val="00844AD6"/>
    <w:rsid w:val="00871146"/>
    <w:rsid w:val="008E7680"/>
    <w:rsid w:val="00934793"/>
    <w:rsid w:val="009C524D"/>
    <w:rsid w:val="009C6AFB"/>
    <w:rsid w:val="00AA5CF5"/>
    <w:rsid w:val="00AC329C"/>
    <w:rsid w:val="00C24CCD"/>
    <w:rsid w:val="00C64707"/>
    <w:rsid w:val="00C92CC3"/>
    <w:rsid w:val="00D00C01"/>
    <w:rsid w:val="00DB661B"/>
    <w:rsid w:val="00DF454E"/>
    <w:rsid w:val="00DF4D4C"/>
    <w:rsid w:val="00E17AA3"/>
    <w:rsid w:val="00EF0E71"/>
    <w:rsid w:val="00FD54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C89F05"/>
  <w15:chartTrackingRefBased/>
  <w15:docId w15:val="{E9F55442-5569-4CAE-944F-D119D76F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lloonText1">
    <w:name w:val="Balloon Text1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before="90" w:line="288" w:lineRule="auto"/>
      <w:jc w:val="both"/>
    </w:pPr>
    <w:rPr>
      <w:sz w:val="18"/>
      <w:szCs w:val="18"/>
    </w:rPr>
  </w:style>
  <w:style w:type="paragraph" w:styleId="Endnotentext">
    <w:name w:val="endnote text"/>
    <w:basedOn w:val="Standard"/>
    <w:semiHidden/>
    <w:rPr>
      <w:sz w:val="20"/>
      <w:szCs w:val="20"/>
    </w:rPr>
  </w:style>
  <w:style w:type="character" w:styleId="Endnotenzeichen">
    <w:name w:val="endnote reference"/>
    <w:semiHidden/>
    <w:rPr>
      <w:vertAlign w:val="superscript"/>
    </w:rPr>
  </w:style>
  <w:style w:type="paragraph" w:customStyle="1" w:styleId="1-1">
    <w:name w:val="Ü1-1"/>
    <w:basedOn w:val="Standard"/>
    <w:pPr>
      <w:spacing w:line="300" w:lineRule="exact"/>
      <w:jc w:val="center"/>
    </w:pPr>
    <w:rPr>
      <w:rFonts w:ascii="New York" w:hAnsi="New York" w:cs="New York"/>
      <w:noProof/>
      <w:sz w:val="26"/>
      <w:szCs w:val="26"/>
    </w:rPr>
  </w:style>
  <w:style w:type="paragraph" w:customStyle="1" w:styleId="GS-Einzug-">
    <w:name w:val="GS-Einzug -"/>
    <w:basedOn w:val="Standard"/>
    <w:pPr>
      <w:spacing w:line="227" w:lineRule="exact"/>
      <w:ind w:left="227" w:hanging="227"/>
      <w:jc w:val="both"/>
    </w:pPr>
    <w:rPr>
      <w:rFonts w:ascii="New York" w:hAnsi="New York" w:cs="New York"/>
      <w:noProof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5F7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115F7B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15F7B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15F7B"/>
  </w:style>
  <w:style w:type="character" w:styleId="Funotenzeichen">
    <w:name w:val="footnote reference"/>
    <w:uiPriority w:val="99"/>
    <w:semiHidden/>
    <w:unhideWhenUsed/>
    <w:rsid w:val="00115F7B"/>
    <w:rPr>
      <w:vertAlign w:val="superscript"/>
    </w:rPr>
  </w:style>
  <w:style w:type="table" w:styleId="Tabellenraster">
    <w:name w:val="Table Grid"/>
    <w:basedOn w:val="NormaleTabelle"/>
    <w:uiPriority w:val="59"/>
    <w:rsid w:val="00AC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43FC6-44DA-452B-8EAD-DD4D6AD8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Kapitel 1 CD: Beispiele für Krisenursachen und Krisenindikatoren</vt:lpstr>
      <vt:lpstr>Kapitel 1 CD: Beispiele für Krisenursachen und Krisenindikatoren</vt:lpstr>
    </vt:vector>
  </TitlesOfParts>
  <Company>Ernst &amp; Young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Kapitel 1 CD: Beispiele für Krisenursachen und Krisenindikatoren</dc:title>
  <dc:subject/>
  <dc:creator>DECMIGN1</dc:creator>
  <cp:keywords/>
  <dc:description/>
  <cp:lastModifiedBy>Henning Werner</cp:lastModifiedBy>
  <cp:revision>2</cp:revision>
  <cp:lastPrinted>2016-09-19T10:40:00Z</cp:lastPrinted>
  <dcterms:created xsi:type="dcterms:W3CDTF">2024-03-07T09:42:00Z</dcterms:created>
  <dcterms:modified xsi:type="dcterms:W3CDTF">2024-03-07T09:42:00Z</dcterms:modified>
</cp:coreProperties>
</file>